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3543"/>
        <w:gridCol w:w="284"/>
        <w:gridCol w:w="850"/>
        <w:gridCol w:w="851"/>
        <w:gridCol w:w="850"/>
        <w:gridCol w:w="851"/>
        <w:gridCol w:w="850"/>
        <w:gridCol w:w="851"/>
      </w:tblGrid>
      <w:tr w:rsidR="00ED26A5" w:rsidRPr="00ED26A5" w:rsidTr="00ED26A5">
        <w:tc>
          <w:tcPr>
            <w:tcW w:w="15452" w:type="dxa"/>
            <w:gridSpan w:val="10"/>
          </w:tcPr>
          <w:p w:rsidR="00ED26A5" w:rsidRPr="00ED26A5" w:rsidRDefault="00ED26A5" w:rsidP="00886845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t xml:space="preserve">Scuola </w:t>
            </w:r>
            <w:r w:rsidR="00886845"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  <w:r w:rsidR="00313E47">
              <w:rPr>
                <w:rFonts w:eastAsia="Times New Roman"/>
                <w:b/>
                <w:bCs/>
                <w:sz w:val="28"/>
                <w:szCs w:val="20"/>
              </w:rPr>
              <w:t xml:space="preserve"> </w:t>
            </w:r>
            <w:r w:rsidR="00E527D4">
              <w:rPr>
                <w:rFonts w:eastAsia="Times New Roman"/>
                <w:b/>
                <w:bCs/>
                <w:sz w:val="28"/>
                <w:szCs w:val="20"/>
              </w:rPr>
              <w:t xml:space="preserve">religione cattolica </w:t>
            </w:r>
          </w:p>
        </w:tc>
      </w:tr>
      <w:tr w:rsidR="00ED26A5" w:rsidRPr="00ED26A5" w:rsidTr="005F0EF5">
        <w:tc>
          <w:tcPr>
            <w:tcW w:w="10065" w:type="dxa"/>
            <w:gridSpan w:val="3"/>
          </w:tcPr>
          <w:p w:rsidR="00ED26A5" w:rsidRPr="00ED26A5" w:rsidRDefault="00E527D4" w:rsidP="00ED26A5">
            <w:pPr>
              <w:jc w:val="center"/>
              <w:rPr>
                <w:b/>
              </w:rPr>
            </w:pPr>
            <w:r>
              <w:rPr>
                <w:b/>
              </w:rPr>
              <w:t xml:space="preserve">DIO E LUOMO </w:t>
            </w:r>
            <w:r w:rsidR="003A6FC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A6FC3">
              <w:rPr>
                <w:b/>
              </w:rPr>
              <w:t xml:space="preserve">LA BIBBIA E LE ALTREE FONTI </w:t>
            </w:r>
            <w:r w:rsidR="006F6975">
              <w:rPr>
                <w:b/>
              </w:rPr>
              <w:t xml:space="preserve">– IL LINGUAGGIO RELIGIOSO – VALORI ETICI E RELIGIOSI </w:t>
            </w:r>
            <w:bookmarkStart w:id="0" w:name="_GoBack"/>
            <w:bookmarkEnd w:id="0"/>
          </w:p>
        </w:tc>
        <w:tc>
          <w:tcPr>
            <w:tcW w:w="5387" w:type="dxa"/>
            <w:gridSpan w:val="7"/>
            <w:vMerge w:val="restart"/>
          </w:tcPr>
          <w:p w:rsidR="00ED26A5" w:rsidRPr="00ED26A5" w:rsidRDefault="00ED26A5" w:rsidP="00ED26A5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D26A5" w:rsidTr="005F0EF5">
        <w:tc>
          <w:tcPr>
            <w:tcW w:w="10065" w:type="dxa"/>
            <w:gridSpan w:val="3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D26A5" w:rsidRDefault="00ED26A5"/>
        </w:tc>
      </w:tr>
      <w:tr w:rsidR="00ED26A5" w:rsidTr="005F0EF5">
        <w:tc>
          <w:tcPr>
            <w:tcW w:w="3120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1</w:t>
            </w:r>
          </w:p>
        </w:tc>
        <w:tc>
          <w:tcPr>
            <w:tcW w:w="3402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2</w:t>
            </w:r>
          </w:p>
        </w:tc>
        <w:tc>
          <w:tcPr>
            <w:tcW w:w="3543" w:type="dxa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Classe 3</w:t>
            </w:r>
          </w:p>
        </w:tc>
        <w:tc>
          <w:tcPr>
            <w:tcW w:w="284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ED26A5" w:rsidRPr="00ED26A5" w:rsidRDefault="00ED26A5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ED26A5" w:rsidRPr="00ED26A5" w:rsidRDefault="00ED26A5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ED26A5" w:rsidTr="005F0EF5">
        <w:trPr>
          <w:cantSplit/>
          <w:trHeight w:val="8284"/>
        </w:trPr>
        <w:tc>
          <w:tcPr>
            <w:tcW w:w="3120" w:type="dxa"/>
          </w:tcPr>
          <w:p w:rsidR="00D93EB3" w:rsidRPr="009A05A2" w:rsidRDefault="00313E47" w:rsidP="009A05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Abilit</w:t>
            </w:r>
            <w:r w:rsidR="009A05A2">
              <w:rPr>
                <w:b/>
              </w:rPr>
              <w:t>à</w:t>
            </w:r>
            <w:r w:rsidR="00D93EB3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br/>
            </w:r>
            <w:r w:rsidR="00D93EB3"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Dio e l’uomo</w:t>
            </w:r>
          </w:p>
          <w:p w:rsidR="00D93EB3" w:rsidRDefault="00D93EB3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44369666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Scoprire che per la religione cristiana Dio è Creatore e Padre e che fin dalle origini ha voluto stabilire un’alleanza con l’uomo.</w:t>
            </w:r>
          </w:p>
          <w:p w:rsidR="00D93EB3" w:rsidRDefault="00D93EB3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44369666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 xml:space="preserve">Conoscere Gesù di  Nazareth, </w:t>
            </w:r>
            <w:proofErr w:type="spellStart"/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Emmanuele</w:t>
            </w:r>
            <w:proofErr w:type="spellEnd"/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 xml:space="preserve"> e Messia, crocifisso e risorto e come tale testimoniato dai cristiani.</w:t>
            </w:r>
          </w:p>
          <w:p w:rsidR="00D93EB3" w:rsidRDefault="00D93EB3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44369666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Individuare i tratti essenziali della Chiesa e della sua missione.</w:t>
            </w:r>
          </w:p>
          <w:p w:rsidR="00D93EB3" w:rsidRDefault="00D93EB3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44369666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Riconoscere la preghiera come dialogo tra l’uomo e Dio, evidenziando nella preghiera cristiana la specificità del  “Padre Nostro”.</w:t>
            </w:r>
          </w:p>
          <w:p w:rsidR="00D93EB3" w:rsidRDefault="00D93EB3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44369666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La Bibbia e  le altre fonti</w:t>
            </w:r>
          </w:p>
          <w:p w:rsidR="00D93EB3" w:rsidRDefault="00D93EB3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44369666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Conoscere la struttura e la composizione della Bibbia.</w:t>
            </w:r>
          </w:p>
          <w:p w:rsidR="00D93EB3" w:rsidRDefault="00D93EB3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44369666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Ascoltare, leggere e saper riferire circa alcune pagine bibliche fondamentali, tra cui i racconti della creazione, le vicende e le figure principali del  popolo d’Israele, gli episodi chiave dei  racconti evangelici e degli Atti degli Apostoli.</w:t>
            </w:r>
          </w:p>
          <w:p w:rsidR="00D93EB3" w:rsidRDefault="00D93EB3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44369666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Il linguaggio religioso</w:t>
            </w:r>
          </w:p>
          <w:p w:rsidR="00D93EB3" w:rsidRDefault="00D93EB3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44369666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Riconoscere i segni cristiani in particolare del Natale e della Pasqua, nell’ambiente, nelle celebrazioni e nella pietà e nella tradizione popolare.</w:t>
            </w:r>
          </w:p>
          <w:p w:rsidR="00D93EB3" w:rsidRDefault="00D93EB3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44369666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Conoscere il significato di gesti e segni liturgici propri della religione cattolica (modi di pregare, di celebrare, ecc…).</w:t>
            </w:r>
          </w:p>
          <w:p w:rsidR="00D93EB3" w:rsidRDefault="00D93EB3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44369666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I valori etici e religiosi</w:t>
            </w:r>
          </w:p>
          <w:p w:rsidR="00D93EB3" w:rsidRDefault="00D93EB3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44369666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Riconoscere che la morale cristiana si fonda sul comandamento dell’amore di Dio e del prossimo, come insegnato da Gesù.</w:t>
            </w:r>
          </w:p>
          <w:p w:rsidR="00D93EB3" w:rsidRDefault="00D93EB3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44369666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Riconoscere l’impegno della comunità cristiana nel  porre alla base della convivenza umana la giustizia e la carità.</w:t>
            </w:r>
          </w:p>
          <w:p w:rsidR="00D93EB3" w:rsidRDefault="00D93EB3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44369666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313E47" w:rsidRDefault="00313E47" w:rsidP="005F0EF5">
            <w:pPr>
              <w:jc w:val="center"/>
              <w:rPr>
                <w:b/>
              </w:rPr>
            </w:pPr>
          </w:p>
          <w:p w:rsidR="00313E47" w:rsidRDefault="00313E47" w:rsidP="005F0EF5">
            <w:pPr>
              <w:jc w:val="center"/>
              <w:rPr>
                <w:b/>
              </w:rPr>
            </w:pPr>
          </w:p>
          <w:p w:rsidR="00313E47" w:rsidRDefault="00313E47" w:rsidP="005F0EF5">
            <w:pPr>
              <w:jc w:val="center"/>
              <w:rPr>
                <w:b/>
              </w:rPr>
            </w:pPr>
          </w:p>
          <w:p w:rsidR="00313E47" w:rsidRDefault="00313E47" w:rsidP="005F0EF5">
            <w:pPr>
              <w:jc w:val="center"/>
              <w:rPr>
                <w:b/>
              </w:rPr>
            </w:pPr>
          </w:p>
          <w:p w:rsidR="00313E47" w:rsidRDefault="00313E47" w:rsidP="005F0EF5">
            <w:pPr>
              <w:jc w:val="center"/>
              <w:rPr>
                <w:b/>
              </w:rPr>
            </w:pPr>
          </w:p>
          <w:p w:rsidR="00313E47" w:rsidRDefault="00313E47" w:rsidP="005F0EF5">
            <w:pPr>
              <w:jc w:val="center"/>
              <w:rPr>
                <w:b/>
              </w:rPr>
            </w:pPr>
          </w:p>
          <w:p w:rsidR="00313E47" w:rsidRDefault="00313E47" w:rsidP="005F0EF5">
            <w:pPr>
              <w:jc w:val="center"/>
              <w:rPr>
                <w:b/>
              </w:rPr>
            </w:pPr>
          </w:p>
          <w:p w:rsidR="00313E47" w:rsidRDefault="00313E47" w:rsidP="005F0EF5">
            <w:pPr>
              <w:jc w:val="center"/>
              <w:rPr>
                <w:b/>
              </w:rPr>
            </w:pPr>
          </w:p>
          <w:p w:rsidR="00313E47" w:rsidRDefault="00313E47" w:rsidP="005F0EF5">
            <w:pPr>
              <w:jc w:val="center"/>
              <w:rPr>
                <w:b/>
              </w:rPr>
            </w:pPr>
            <w:r>
              <w:rPr>
                <w:b/>
              </w:rPr>
              <w:t xml:space="preserve">Conoscenze 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Dio Creatore e Padre di tutti gli uomini.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 xml:space="preserve">Gesù di </w:t>
            </w:r>
            <w:proofErr w:type="spellStart"/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Nazaret</w:t>
            </w:r>
            <w:proofErr w:type="spellEnd"/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 xml:space="preserve">, </w:t>
            </w:r>
            <w:proofErr w:type="spellStart"/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l’Emmanuele</w:t>
            </w:r>
            <w:proofErr w:type="spellEnd"/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 xml:space="preserve"> ‘Dio con noi’.</w:t>
            </w:r>
          </w:p>
          <w:p w:rsidR="00F27B09" w:rsidRPr="003608FA" w:rsidRDefault="00F27B09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La Chiesa comunità dei Cristiani aperta a tutti i popoli.</w:t>
            </w:r>
          </w:p>
          <w:p w:rsidR="00F27B09" w:rsidRPr="003608FA" w:rsidRDefault="00F27B09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 xml:space="preserve">La preghiera come espressione di religiosità 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 xml:space="preserve">La Bibbia, struttura e composizione 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L’origine del mondo secondo la Bibbia e la scienza.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La Bibbia testo sacro di Cristiani ed Ebrei.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La festa del Natale e della Pasqua.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La Chiesa popolo di Dio nel mondo: avvenimenti, persone e strutture.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Gesù, il Signore, che rivela il Regno di Dio con parole e azioni..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La Chiesa popolo di Dio nel mondo.</w:t>
            </w:r>
          </w:p>
          <w:p w:rsidR="00CC46E4" w:rsidRPr="005F0EF5" w:rsidRDefault="00CC46E4" w:rsidP="005F0EF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30D5C" w:rsidRPr="00030D5C" w:rsidRDefault="00313E47" w:rsidP="00030D5C">
            <w:pPr>
              <w:jc w:val="center"/>
            </w:pPr>
            <w:r>
              <w:t xml:space="preserve">Abilità </w:t>
            </w:r>
            <w:r w:rsidR="00030D5C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br/>
            </w:r>
            <w:r w:rsidR="00030D5C"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Dio e l’uomo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75983602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Scoprire che per la religione cristiana Dio è Creatore e Padre e che fin dalle origini ha voluto stabilire un’alleanza con l’uomo.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75983602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 xml:space="preserve">Conoscere Gesù di  Nazareth, </w:t>
            </w:r>
            <w:proofErr w:type="spellStart"/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Emmanuele</w:t>
            </w:r>
            <w:proofErr w:type="spellEnd"/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 xml:space="preserve"> e Messia, crocifisso e risorto e come tale testimoniato dai cristiani.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75983602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Individuare i tratti essenziali della Chiesa e della sua missione.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75983602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Riconoscere la preghiera come dialogo tra l’uomo e Dio, evidenziando nella preghiera cristiana la specificità del  “Padre Nostro”.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75983602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La Bibbia e  le altre fonti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75983602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Conoscere la struttura e la composizione della Bibbia.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75983602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Ascoltare, leggere e saper riferire circa alcune pagine bibliche fondamentali, tra cui i racconti della creazione, le vicende e le figure principali del  popolo d’Israele, gli episodi chiave dei  racconti evangelici e degli Atti degli Apostoli.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75983602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Il linguaggio religioso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75983602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Riconoscere i segni cristiani in particolare del Natale e della Pasqua, nell’ambiente, nelle celebrazioni e nella pietà e nella tradizione popolare.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75983602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Conoscere il significato di gesti e segni liturgici propri della religione cattolica (modi di pregare, di celebrare, ecc…).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75983602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I valori etici e religiosi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75983602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Riconoscere che la morale cristiana si fonda sul comandamento dell’amore di Dio e del prossimo, come insegnato da Gesù.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75983602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Riconoscere l’impegno della comunità cristiana nel  porre alla base della convivenza umana la giustizia e la carità.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75983602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608FA" w:rsidRDefault="00313E47" w:rsidP="005F0EF5">
            <w:pPr>
              <w:jc w:val="center"/>
            </w:pPr>
            <w:r>
              <w:t>Conoscenze</w:t>
            </w:r>
          </w:p>
          <w:p w:rsidR="003608FA" w:rsidRPr="003608FA" w:rsidRDefault="00313E47" w:rsidP="006131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t xml:space="preserve"> </w:t>
            </w:r>
            <w:r w:rsidR="003608FA" w:rsidRPr="003608FA">
              <w:rPr>
                <w:rFonts w:ascii="Times New Roman" w:eastAsia="Times New Roman" w:hAnsi="Times New Roman" w:cs="Times New Roman"/>
                <w:lang w:eastAsia="it-IT"/>
              </w:rPr>
              <w:t>Dio Creatore e Padre di tutti gli uomini.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 xml:space="preserve">Gesù di </w:t>
            </w:r>
            <w:proofErr w:type="spellStart"/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Nazaret</w:t>
            </w:r>
            <w:proofErr w:type="spellEnd"/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 xml:space="preserve">, </w:t>
            </w:r>
            <w:proofErr w:type="spellStart"/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l’Emmanuele</w:t>
            </w:r>
            <w:proofErr w:type="spellEnd"/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 xml:space="preserve"> ‘Dio con noi’.</w:t>
            </w:r>
          </w:p>
          <w:p w:rsid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La Chiesa comunità dei Cristiani aperta a tutti i popoli.</w:t>
            </w:r>
          </w:p>
          <w:p w:rsidR="00F27B09" w:rsidRPr="003608FA" w:rsidRDefault="00F27B09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 xml:space="preserve">La preghiera come espressione di religiosità 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 xml:space="preserve">La Bibbia, struttura e composizione </w:t>
            </w:r>
          </w:p>
          <w:p w:rsid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L’origine del mondo secondo la Bibbia e la scienza.</w:t>
            </w:r>
          </w:p>
          <w:p w:rsidR="00F27B09" w:rsidRPr="003608FA" w:rsidRDefault="00F27B09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La Bibbia testo sacro di Cristiani ed Ebrei.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La festa del Natale e della Pasqua.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La Chiesa popolo di Dio nel mondo: avvenimenti, persone e strutture.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Gesù, il Signore, che rivela il Regno di Dio con parole e azioni..</w:t>
            </w:r>
          </w:p>
          <w:p w:rsidR="001834DD" w:rsidRPr="003608FA" w:rsidRDefault="001834DD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La Chiesa popolo di Dio nel mondo.</w:t>
            </w:r>
          </w:p>
          <w:p w:rsidR="00313E47" w:rsidRDefault="00313E47" w:rsidP="005F0EF5">
            <w:pPr>
              <w:jc w:val="center"/>
            </w:pPr>
          </w:p>
        </w:tc>
        <w:tc>
          <w:tcPr>
            <w:tcW w:w="3543" w:type="dxa"/>
          </w:tcPr>
          <w:p w:rsidR="00030D5C" w:rsidRPr="00030D5C" w:rsidRDefault="00313E47" w:rsidP="00030D5C">
            <w:pPr>
              <w:jc w:val="center"/>
            </w:pPr>
            <w:r>
              <w:t xml:space="preserve">Abilità </w:t>
            </w:r>
            <w:r w:rsidR="00030D5C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br/>
            </w:r>
            <w:r w:rsidR="00030D5C"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Dio e l’uomo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11282509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Scoprire che per la religione cristiana Dio è Creatore e Padre e che fin dalle origini ha voluto stabilire un’alleanza con l’uomo.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11282509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 xml:space="preserve">Conoscere Gesù di  Nazareth, </w:t>
            </w:r>
            <w:proofErr w:type="spellStart"/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Emmanuele</w:t>
            </w:r>
            <w:proofErr w:type="spellEnd"/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 xml:space="preserve"> e Messia, crocifisso e risorto e come tale testimoniato dai cristiani.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11282509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Individuare i tratti essenziali della Chiesa e della sua missione.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11282509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Riconoscere la preghiera come dialogo tra l’uomo e Dio, evidenziando nella preghiera cristiana la specificità del  “Padre Nostro”.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11282509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La Bibbia e  le altre fonti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11282509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Conoscere la struttura e la composizione della Bibbia.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11282509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Ascoltare, leggere e saper riferire circa alcune pagine bibliche fondamentali, tra cui i racconti della creazione, le vicende e le figure principali del  popolo d’Israele, gli episodi chiave dei  racconti evangelici e degli Atti degli Apostoli.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11282509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Il linguaggio religioso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11282509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rStyle w:val="apple-converted-space"/>
                <w:rFonts w:ascii="Calibri" w:hAnsi="Calibri"/>
                <w:color w:val="000000"/>
                <w:sz w:val="17"/>
                <w:szCs w:val="17"/>
              </w:rPr>
              <w:t>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Riconoscere i segni cristiani in particolare del Natale e della Pasqua, nell’ambiente, nelle celebrazioni e nella pietà e nella tradizione popolare.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11282509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Conoscere il significato di gesti e segni liturgici propri della religione cattolica (modi di pregare, di celebrare, ecc…).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11282509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I valori etici e religiosi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11282509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Riconoscere che la morale cristiana si fonda sul comandamento dell’amore di Dio e del prossimo, come insegnato da Gesù.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11282509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17"/>
                <w:szCs w:val="17"/>
              </w:rPr>
              <w:t>- </w:t>
            </w:r>
            <w:r>
              <w:rPr>
                <w:rStyle w:val="s15"/>
                <w:rFonts w:ascii="Calibri" w:hAnsi="Calibri"/>
                <w:color w:val="000000"/>
                <w:sz w:val="17"/>
                <w:szCs w:val="17"/>
              </w:rPr>
              <w:t>Riconoscere l’impegno della comunità cristiana nel  porre alla base della convivenza umana la giustizia e la carità.</w:t>
            </w:r>
          </w:p>
          <w:p w:rsidR="00030D5C" w:rsidRDefault="00030D5C">
            <w:pPr>
              <w:pStyle w:val="s9"/>
              <w:shd w:val="clear" w:color="auto" w:fill="FFFFFF"/>
              <w:spacing w:before="0" w:beforeAutospacing="0" w:after="0" w:afterAutospacing="0" w:line="324" w:lineRule="atLeast"/>
              <w:jc w:val="both"/>
              <w:divId w:val="1112825098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</w:p>
          <w:p w:rsidR="00313E47" w:rsidRDefault="00313E47" w:rsidP="005F0EF5">
            <w:pPr>
              <w:jc w:val="center"/>
            </w:pPr>
            <w:r>
              <w:t>Conoscenze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Dio Creatore e Padre di tutti gli uomini.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 xml:space="preserve">Gesù di </w:t>
            </w:r>
            <w:proofErr w:type="spellStart"/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Nazaret</w:t>
            </w:r>
            <w:proofErr w:type="spellEnd"/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 xml:space="preserve">, </w:t>
            </w:r>
            <w:proofErr w:type="spellStart"/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l’Emmanuele</w:t>
            </w:r>
            <w:proofErr w:type="spellEnd"/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 xml:space="preserve"> ‘Dio con noi’.</w:t>
            </w:r>
          </w:p>
          <w:p w:rsidR="001834DD" w:rsidRPr="003608FA" w:rsidRDefault="001834DD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La Chiesa comunità dei Cristiani aperta a tutti i popoli.</w:t>
            </w:r>
          </w:p>
          <w:p w:rsidR="001834DD" w:rsidRPr="003608FA" w:rsidRDefault="001834DD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 xml:space="preserve">La preghiera come espressione di religiosità 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 xml:space="preserve">La Bibbia, struttura e composizione </w:t>
            </w:r>
          </w:p>
          <w:p w:rsid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L’origine del mondo secondo la Bibbia e la scienza.</w:t>
            </w:r>
          </w:p>
          <w:p w:rsidR="001834DD" w:rsidRPr="003608FA" w:rsidRDefault="001834DD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La Bibbia testo sacro di Cristiani ed Ebrei.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La festa del Natale e della Pasqua.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La Chiesa popolo di Dio nel mondo: avvenimenti, persone e strutture.</w:t>
            </w: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Gesù, il Signore, che rivela il Regno di Dio con parole e azioni..</w:t>
            </w:r>
          </w:p>
          <w:p w:rsidR="001834DD" w:rsidRPr="003608FA" w:rsidRDefault="001834DD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08FA">
              <w:rPr>
                <w:rFonts w:ascii="Times New Roman" w:eastAsia="Times New Roman" w:hAnsi="Times New Roman" w:cs="Times New Roman"/>
                <w:lang w:eastAsia="it-IT"/>
              </w:rPr>
              <w:t>La Chiesa popolo di Dio nel mondo.</w:t>
            </w:r>
          </w:p>
          <w:p w:rsidR="00313E47" w:rsidRDefault="00313E47" w:rsidP="005F0EF5">
            <w:pPr>
              <w:jc w:val="center"/>
            </w:pPr>
          </w:p>
        </w:tc>
        <w:tc>
          <w:tcPr>
            <w:tcW w:w="284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non è del tutto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ED26A5" w:rsidRPr="00ED26A5" w:rsidRDefault="00ED26A5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/>
    <w:sectPr w:rsidR="00ED26A5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6A5"/>
    <w:rsid w:val="00030D5C"/>
    <w:rsid w:val="001834DD"/>
    <w:rsid w:val="00262D94"/>
    <w:rsid w:val="00313E47"/>
    <w:rsid w:val="003608FA"/>
    <w:rsid w:val="003A6FC3"/>
    <w:rsid w:val="005163EB"/>
    <w:rsid w:val="005D2F3D"/>
    <w:rsid w:val="005F0EF5"/>
    <w:rsid w:val="0066397A"/>
    <w:rsid w:val="006F6975"/>
    <w:rsid w:val="00886845"/>
    <w:rsid w:val="00950BB9"/>
    <w:rsid w:val="009547AF"/>
    <w:rsid w:val="009A05A2"/>
    <w:rsid w:val="00B16F94"/>
    <w:rsid w:val="00CC46E4"/>
    <w:rsid w:val="00D93EB3"/>
    <w:rsid w:val="00E527D4"/>
    <w:rsid w:val="00ED26A5"/>
    <w:rsid w:val="00F27B09"/>
    <w:rsid w:val="00FB36EB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14F9"/>
  <w15:docId w15:val="{BD3715AD-0BAB-4716-8ADB-9D6CE53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customStyle="1" w:styleId="s9">
    <w:name w:val="s9"/>
    <w:basedOn w:val="Normale"/>
    <w:rsid w:val="00D93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s14">
    <w:name w:val="s14"/>
    <w:basedOn w:val="Carpredefinitoparagrafo"/>
    <w:rsid w:val="00D93EB3"/>
  </w:style>
  <w:style w:type="character" w:customStyle="1" w:styleId="s15">
    <w:name w:val="s15"/>
    <w:basedOn w:val="Carpredefinitoparagrafo"/>
    <w:rsid w:val="00D93EB3"/>
  </w:style>
  <w:style w:type="character" w:customStyle="1" w:styleId="apple-converted-space">
    <w:name w:val="apple-converted-space"/>
    <w:basedOn w:val="Carpredefinitoparagrafo"/>
    <w:rsid w:val="00D9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LAURA SACCOMAN</cp:lastModifiedBy>
  <cp:revision>2</cp:revision>
  <cp:lastPrinted>2018-03-14T10:53:00Z</cp:lastPrinted>
  <dcterms:created xsi:type="dcterms:W3CDTF">2018-05-14T12:06:00Z</dcterms:created>
  <dcterms:modified xsi:type="dcterms:W3CDTF">2018-05-14T12:06:00Z</dcterms:modified>
</cp:coreProperties>
</file>